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4FD67" w14:textId="77777777" w:rsidR="007D2541" w:rsidRDefault="00C278D7" w:rsidP="007D2541">
      <w:pPr>
        <w:pStyle w:val="a7"/>
        <w:spacing w:line="200" w:lineRule="exact"/>
        <w:ind w:firstLine="263"/>
        <w:rPr>
          <w:bCs/>
        </w:rPr>
      </w:pPr>
      <w:r w:rsidRPr="006A57A5">
        <w:rPr>
          <w:rFonts w:hint="eastAsia"/>
        </w:rPr>
        <w:t>ダミー</w:t>
      </w:r>
      <w:r w:rsidR="007D2541" w:rsidRPr="007D2541">
        <w:rPr>
          <w:bCs/>
        </w:rPr>
        <w:t>夏目漱石『こゝろ』における「語り」の構造分析</w:t>
      </w:r>
    </w:p>
    <w:p w14:paraId="5E77EDD5" w14:textId="71B4A452" w:rsidR="004C2426" w:rsidRPr="006A57A5" w:rsidRDefault="007D2541" w:rsidP="007D2541">
      <w:pPr>
        <w:pStyle w:val="a7"/>
        <w:spacing w:line="200" w:lineRule="exact"/>
        <w:ind w:firstLine="263"/>
      </w:pPr>
      <w:r w:rsidRPr="007D2541">
        <w:rPr>
          <w:bCs/>
        </w:rPr>
        <w:t>—</w:t>
      </w:r>
      <w:r w:rsidRPr="007D2541">
        <w:rPr>
          <w:bCs/>
        </w:rPr>
        <w:t>「先生」の遺書と自己言及性をめぐって</w:t>
      </w:r>
      <w:r w:rsidRPr="007D2541">
        <w:rPr>
          <w:bCs/>
        </w:rPr>
        <w:t>—</w:t>
      </w:r>
    </w:p>
    <w:p w14:paraId="4F54AED5" w14:textId="77777777" w:rsidR="00E46AB4" w:rsidRDefault="00E46AB4" w:rsidP="00E46AB4">
      <w:pPr>
        <w:pStyle w:val="OJ"/>
      </w:pPr>
    </w:p>
    <w:p w14:paraId="39EBFF69" w14:textId="7B0FBDB3" w:rsidR="004C2426" w:rsidRDefault="003A5428" w:rsidP="003A5428">
      <w:pPr>
        <w:pStyle w:val="OJ"/>
        <w:jc w:val="right"/>
        <w:rPr>
          <w:vertAlign w:val="superscript"/>
        </w:rPr>
      </w:pPr>
      <w:r>
        <w:rPr>
          <w:rFonts w:hint="eastAsia"/>
          <w:vertAlign w:val="superscript"/>
        </w:rPr>
        <w:t>１</w:t>
      </w:r>
      <w:r w:rsidR="004C2426" w:rsidRPr="00E46AB4">
        <w:rPr>
          <w:rFonts w:hint="eastAsia"/>
        </w:rPr>
        <w:t>放送花子</w:t>
      </w:r>
    </w:p>
    <w:p w14:paraId="3A986DB6" w14:textId="77777777" w:rsidR="00A65C4F" w:rsidRPr="009A107F" w:rsidRDefault="00A65C4F" w:rsidP="00A65C4F">
      <w:pPr>
        <w:ind w:firstLine="202"/>
        <w:jc w:val="right"/>
        <w:rPr>
          <w:rFonts w:asciiTheme="minorEastAsia" w:hAnsiTheme="minorEastAsia"/>
          <w:vanish/>
          <w:szCs w:val="18"/>
        </w:rPr>
      </w:pPr>
      <w:r w:rsidRPr="009A107F">
        <w:rPr>
          <w:rFonts w:asciiTheme="minorEastAsia" w:hAnsiTheme="minorEastAsia" w:hint="eastAsia"/>
          <w:vanish/>
          <w:color w:val="FF0000"/>
          <w:szCs w:val="18"/>
        </w:rPr>
        <w:t>著者所属の脚注用</w:t>
      </w:r>
      <w:r w:rsidRPr="009A107F">
        <w:rPr>
          <w:rStyle w:val="ab"/>
          <w:rFonts w:asciiTheme="minorEastAsia" w:hAnsiTheme="minorEastAsia"/>
          <w:vanish/>
          <w:color w:val="FF0000"/>
          <w:szCs w:val="18"/>
        </w:rPr>
        <w:footnoteReference w:customMarkFollows="1" w:id="1"/>
        <w:t>*</w:t>
      </w:r>
    </w:p>
    <w:p w14:paraId="75D9AB95" w14:textId="77777777" w:rsidR="00A65C4F" w:rsidRPr="00A65C4F" w:rsidRDefault="00A65C4F" w:rsidP="007D2541">
      <w:pPr>
        <w:pStyle w:val="OJ"/>
        <w:jc w:val="right"/>
        <w:rPr>
          <w:vertAlign w:val="superscript"/>
        </w:rPr>
      </w:pPr>
    </w:p>
    <w:p w14:paraId="6794797D" w14:textId="77777777" w:rsidR="007D2541" w:rsidRPr="00E46AB4" w:rsidRDefault="007D2541" w:rsidP="007D2541">
      <w:pPr>
        <w:pStyle w:val="OJ"/>
        <w:jc w:val="right"/>
      </w:pPr>
    </w:p>
    <w:p w14:paraId="31CE1B0B" w14:textId="77777777" w:rsidR="007D2541" w:rsidRDefault="007D2541" w:rsidP="005A627C">
      <w:pPr>
        <w:pStyle w:val="OJ"/>
        <w:jc w:val="both"/>
        <w:sectPr w:rsidR="007D2541" w:rsidSect="007D2541">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851" w:header="851" w:footer="992" w:gutter="0"/>
          <w:cols w:space="360"/>
          <w:textDirection w:val="tbRl"/>
          <w:docGrid w:type="linesAndChars" w:linePitch="309" w:charSpace="4506"/>
        </w:sectPr>
      </w:pPr>
    </w:p>
    <w:p w14:paraId="7E10D53C" w14:textId="77777777" w:rsidR="005A627C" w:rsidRPr="007D2541" w:rsidRDefault="005A627C" w:rsidP="005A627C">
      <w:pPr>
        <w:ind w:firstLineChars="0" w:firstLine="0"/>
        <w:rPr>
          <w:b/>
          <w:bCs/>
        </w:rPr>
      </w:pPr>
      <w:r w:rsidRPr="007D2541">
        <w:rPr>
          <w:rFonts w:hint="eastAsia"/>
          <w:b/>
          <w:bCs/>
        </w:rPr>
        <w:t>要旨</w:t>
      </w:r>
    </w:p>
    <w:p w14:paraId="66D166F1" w14:textId="46CE2FA2" w:rsidR="005A627C" w:rsidRPr="00020E3F" w:rsidRDefault="005A627C" w:rsidP="00962F21">
      <w:pPr>
        <w:ind w:firstLine="202"/>
      </w:pPr>
      <w:r w:rsidRPr="00020E3F">
        <w:rPr>
          <w:rFonts w:hint="eastAsia"/>
        </w:rPr>
        <w:t>ダミーダミー</w:t>
      </w:r>
      <w:r w:rsidR="00962F21" w:rsidRPr="00962F21">
        <w:t>本稿は、夏目漱石の代表作『こゝろ』が持つ特異な語りの構造を分析し、それが作品の主題と不可分に結びついていることを明らかにすることを目的とする。本作は、語り手「私」による回想と、「先生」の遺書という二つの異なる語りによって構成されている。従来の研究では、主に近代的な自我や倫理の問題が論じられてきたが、本稿では、この二重の語りが形成する「入れ子構造」そのものに着目する。具体的には、まず「私」の語りがいかにして読者の先生に対するイメージを方向づけるかを検証し、次いで先生の遺書が「私」という特定の聞き手を持つことで生じる語りの閉鎖性と自己言及性を考察する。この分析を通じて、先生の死という悲劇が、それを聞き、語り継ぐ「私」の存在によって初めてテクストとして完成するという、漱石の高度な文学的戦略を解明する。結論として、『こゝろ』は単なる悲劇の物語ではなく、記憶の伝承と解釈という、物語そのものの生成プロセスを主題とした作品であることを論じる</w:t>
      </w:r>
      <w:r w:rsidRPr="00020E3F">
        <w:rPr>
          <w:rFonts w:hint="eastAsia"/>
        </w:rPr>
        <w:t>。</w:t>
      </w:r>
    </w:p>
    <w:p w14:paraId="41B5FF52" w14:textId="77777777" w:rsidR="005A627C" w:rsidRPr="005A627C" w:rsidRDefault="005A627C" w:rsidP="005A627C">
      <w:pPr>
        <w:pStyle w:val="1"/>
        <w:numPr>
          <w:ilvl w:val="0"/>
          <w:numId w:val="0"/>
        </w:numPr>
        <w:ind w:left="150" w:hanging="150"/>
      </w:pPr>
    </w:p>
    <w:p w14:paraId="6F16B45A" w14:textId="19252981" w:rsidR="003C7AFD" w:rsidRPr="00020E3F" w:rsidRDefault="005A627C" w:rsidP="005A627C">
      <w:pPr>
        <w:pStyle w:val="1"/>
        <w:numPr>
          <w:ilvl w:val="0"/>
          <w:numId w:val="0"/>
        </w:numPr>
        <w:ind w:left="150" w:hanging="150"/>
      </w:pPr>
      <w:r>
        <w:rPr>
          <w:rFonts w:hint="eastAsia"/>
        </w:rPr>
        <w:t xml:space="preserve">一　</w:t>
      </w:r>
      <w:r w:rsidR="003C7AFD" w:rsidRPr="00020E3F">
        <w:rPr>
          <w:rFonts w:hint="eastAsia"/>
        </w:rPr>
        <w:t>はじめに</w:t>
      </w:r>
    </w:p>
    <w:p w14:paraId="707AC3BB" w14:textId="6C800F76" w:rsidR="00534F29" w:rsidRDefault="007D2541" w:rsidP="007D2541">
      <w:pPr>
        <w:ind w:firstLine="202"/>
      </w:pPr>
      <w:r w:rsidRPr="00020E3F">
        <w:rPr>
          <w:rFonts w:hint="eastAsia"/>
        </w:rPr>
        <w:t>ダミーダミー</w:t>
      </w:r>
      <w:r w:rsidRPr="007D2541">
        <w:t>夏目漱石が描く近代日本の知識人の苦悩は、発表から一世紀以上を経た今日においても、我々の心に深く響く普遍的なテーマを内包している。なかんずく、大正三年に発表された『こゝろ』は、その巧みな構成と心理描写によって、漱石文学の金字塔として、また近代日本文学を代表する作品として広く認識されてきた。本作は、語り手である「私」が「先生」と出会い、その謎めいた過去に惹かれていく上編・中編と、先生が自らの罪を告白する遺書に</w:t>
      </w:r>
      <w:r w:rsidRPr="007D2541">
        <w:t>よって構成される下編という、明確な二部構成を持つ。</w:t>
      </w:r>
    </w:p>
    <w:p w14:paraId="6B7CE870" w14:textId="1E7CB5D5" w:rsidR="007D2541" w:rsidRDefault="007D2541" w:rsidP="007D2541">
      <w:pPr>
        <w:ind w:firstLine="202"/>
      </w:pPr>
      <w:r w:rsidRPr="007D2541">
        <w:t>これまで、本作の研究は、近代的な「自我（エゴ）」の問題や、乃木希典の殉死に象徴される「明治の精神」との関連、あるいは三角関係における倫理的な葛藤といった側面に光を当ててきた。しかし、それらの解釈を支える基盤となっている、本作の特異な「語り」の構造そのものに焦点を当てた分析は、未だ十分になされているとは言い難い。本稿の目的は、この「私」の語りと「先生」の語りという二重の構造が、いかにして作品世界の深層を形成し、読者の解釈行為を方向づけるのかを、自己言及性という概念を補助線として明らかにすることにある。</w:t>
      </w:r>
    </w:p>
    <w:p w14:paraId="7C6D9824" w14:textId="77777777" w:rsidR="005A627C" w:rsidRPr="009A107F" w:rsidRDefault="005A627C" w:rsidP="007D2541">
      <w:pPr>
        <w:ind w:firstLine="202"/>
      </w:pPr>
    </w:p>
    <w:p w14:paraId="2A7011D0" w14:textId="4C42D9CB" w:rsidR="007D2541" w:rsidRPr="005A627C" w:rsidRDefault="007D2541" w:rsidP="005A627C">
      <w:pPr>
        <w:pStyle w:val="1"/>
        <w:numPr>
          <w:ilvl w:val="0"/>
          <w:numId w:val="0"/>
        </w:numPr>
        <w:ind w:left="150" w:hanging="150"/>
      </w:pPr>
      <w:r w:rsidRPr="005A627C">
        <w:t>二</w:t>
      </w:r>
      <w:r w:rsidR="005A627C">
        <w:rPr>
          <w:rFonts w:hint="eastAsia"/>
        </w:rPr>
        <w:t xml:space="preserve">　</w:t>
      </w:r>
      <w:r w:rsidRPr="005A627C">
        <w:t>先行研究の整理と本稿の視座</w:t>
      </w:r>
    </w:p>
    <w:p w14:paraId="057523C5" w14:textId="77777777" w:rsidR="007D2541" w:rsidRDefault="007D2541" w:rsidP="007D2541">
      <w:pPr>
        <w:ind w:firstLine="202"/>
      </w:pPr>
      <w:r>
        <w:rPr>
          <w:rFonts w:hint="eastAsia"/>
        </w:rPr>
        <w:t>『こゝろ』の語りに関する研究は、決して皆無ではない。例えば、田中は、「私」の語りが持つ追憶の形式に着目し、過去の出来事を再構成しようとする記憶の不確かさが、作品全体に不穏な影を落としていると指摘した（田中、一九九八）。一方で、鈴木は、先生の遺書が「私」という特定の読者に宛てて書かれた「私信」である点に注目し、その閉鎖的な語りの空間が、外部からの批判を拒絶する強固な自己弁護の論理を内包していると論じている（鈴木、二〇〇五）。</w:t>
      </w:r>
    </w:p>
    <w:p w14:paraId="33F2FF22" w14:textId="77777777" w:rsidR="005A627C" w:rsidRDefault="007D2541" w:rsidP="007D2541">
      <w:pPr>
        <w:ind w:firstLine="202"/>
        <w:sectPr w:rsidR="005A627C" w:rsidSect="005A627C">
          <w:footnotePr>
            <w:numFmt w:val="ideographDigital"/>
          </w:footnotePr>
          <w:type w:val="continuous"/>
          <w:pgSz w:w="11906" w:h="16838" w:code="9"/>
          <w:pgMar w:top="1134" w:right="851" w:bottom="1134" w:left="851" w:header="851" w:footer="992" w:gutter="0"/>
          <w:cols w:num="2" w:space="425"/>
          <w:textDirection w:val="tbRl"/>
          <w:docGrid w:type="linesAndChars" w:linePitch="309" w:charSpace="4506"/>
          <w15:footnoteColumns w:val="1"/>
        </w:sectPr>
      </w:pPr>
      <w:r>
        <w:rPr>
          <w:rFonts w:hint="eastAsia"/>
        </w:rPr>
        <w:t>これらの先行研究は、それぞれに重要な示唆を与えるものであるが、二つの語りを個別のものとして分析する傾向が強い。しかし、我々が実際に作品を読む際には、まず「私」の視点を通して先生という存在を認識し、その後に先生自身の言葉に触れるという、不可逆的な時間体験を経る。つまり、先生の遺書</w:t>
      </w:r>
    </w:p>
    <w:p w14:paraId="79E9E925" w14:textId="77777777" w:rsidR="007D2541" w:rsidRDefault="007D2541" w:rsidP="005A627C">
      <w:pPr>
        <w:ind w:firstLineChars="0" w:firstLine="0"/>
      </w:pPr>
      <w:r>
        <w:rPr>
          <w:rFonts w:hint="eastAsia"/>
        </w:rPr>
        <w:lastRenderedPageBreak/>
        <w:t>は、常に「私」というフィルターを通して我々に届けられるのである。この二つの語りの相互浸透的な関係性こそが、本作の解釈における鍵ではないだろうか。</w:t>
      </w:r>
    </w:p>
    <w:p w14:paraId="7D5A2EED" w14:textId="1DA23391" w:rsidR="00534F29" w:rsidRDefault="007D2541" w:rsidP="007D2541">
      <w:pPr>
        <w:ind w:firstLine="196"/>
      </w:pPr>
      <w:r>
        <w:rPr>
          <w:rFonts w:hint="eastAsia"/>
        </w:rPr>
        <w:t>本稿では、この構造を「入れ子状の語り」として捉える。すなわち、「私」の物語の中に、「先生」の物語が埋め込まれているという構造である。この視点からテクストを再読することで、遺書の内容そのものだけでなく、遺書を読む「私」の体験、そしてその体験を追体験する我々読者の立場をも分析の射程に収めることが可能となる。</w:t>
      </w:r>
    </w:p>
    <w:p w14:paraId="28F170E7" w14:textId="77777777" w:rsidR="007D2541" w:rsidRPr="007D2541" w:rsidRDefault="007D2541" w:rsidP="007D2541">
      <w:pPr>
        <w:ind w:firstLine="196"/>
        <w:rPr>
          <w:rFonts w:asciiTheme="minorEastAsia" w:hAnsiTheme="minorEastAsia"/>
          <w:szCs w:val="18"/>
        </w:rPr>
      </w:pPr>
    </w:p>
    <w:p w14:paraId="56866320" w14:textId="21D781A1" w:rsidR="00E24CB0" w:rsidRPr="00020E3F" w:rsidRDefault="005A627C" w:rsidP="005A627C">
      <w:pPr>
        <w:pStyle w:val="1"/>
        <w:numPr>
          <w:ilvl w:val="0"/>
          <w:numId w:val="0"/>
        </w:numPr>
        <w:ind w:left="150" w:hanging="150"/>
      </w:pPr>
      <w:r>
        <w:rPr>
          <w:rFonts w:hint="eastAsia"/>
          <w:bCs/>
        </w:rPr>
        <w:t xml:space="preserve">三　</w:t>
      </w:r>
      <w:r w:rsidR="007D2541" w:rsidRPr="007D2541">
        <w:rPr>
          <w:bCs/>
        </w:rPr>
        <w:t>テクスト分析</w:t>
      </w:r>
      <w:r w:rsidR="007D2541" w:rsidRPr="007D2541">
        <w:rPr>
          <w:bCs/>
        </w:rPr>
        <w:t>—</w:t>
      </w:r>
      <w:r w:rsidR="007D2541" w:rsidRPr="007D2541">
        <w:rPr>
          <w:bCs/>
        </w:rPr>
        <w:t>二重の語りが生み出す効果</w:t>
      </w:r>
    </w:p>
    <w:p w14:paraId="3AEE957E" w14:textId="0ADE842F" w:rsidR="00534F29" w:rsidRPr="00020E3F" w:rsidRDefault="005A627C" w:rsidP="005A627C">
      <w:pPr>
        <w:pStyle w:val="2"/>
        <w:numPr>
          <w:ilvl w:val="0"/>
          <w:numId w:val="0"/>
        </w:numPr>
      </w:pPr>
      <w:r>
        <w:rPr>
          <w:rFonts w:hint="eastAsia"/>
        </w:rPr>
        <w:t>（１）</w:t>
      </w:r>
      <w:r w:rsidR="00534F29" w:rsidRPr="00020E3F">
        <w:rPr>
          <w:rFonts w:hint="eastAsia"/>
        </w:rPr>
        <w:t>分析対象</w:t>
      </w:r>
    </w:p>
    <w:p w14:paraId="0DFB3C70" w14:textId="77777777" w:rsidR="00A65C4F" w:rsidRDefault="00A65C4F" w:rsidP="00A65C4F">
      <w:pPr>
        <w:ind w:firstLine="196"/>
        <w:rPr>
          <w:rFonts w:asciiTheme="minorEastAsia" w:hAnsiTheme="minorEastAsia" w:cstheme="majorBidi"/>
          <w:szCs w:val="18"/>
        </w:rPr>
      </w:pPr>
      <w:r w:rsidRPr="00A65C4F">
        <w:rPr>
          <w:rFonts w:asciiTheme="minorEastAsia" w:hAnsiTheme="minorEastAsia" w:cstheme="majorBidi" w:hint="eastAsia"/>
          <w:szCs w:val="18"/>
        </w:rPr>
        <w:t>「上 先生と私」において、語り手である「私」は、先生との出会いを回想する形で物語を始める。ここでの先生は、あくまで「私」の視点から描かれた、断片的な情報によって構成される謎めいた存在である。</w:t>
      </w:r>
    </w:p>
    <w:p w14:paraId="6D35B38C" w14:textId="77777777" w:rsidR="00A65C4F" w:rsidRDefault="00A65C4F" w:rsidP="00A65C4F">
      <w:pPr>
        <w:ind w:firstLine="196"/>
        <w:rPr>
          <w:rFonts w:asciiTheme="minorEastAsia" w:hAnsiTheme="minorEastAsia" w:cstheme="majorBidi"/>
          <w:szCs w:val="18"/>
        </w:rPr>
      </w:pPr>
    </w:p>
    <w:p w14:paraId="70E6298F" w14:textId="307B3776" w:rsidR="00A65C4F" w:rsidRDefault="00A65C4F" w:rsidP="00A65C4F">
      <w:pPr>
        <w:ind w:leftChars="211" w:left="414" w:firstLineChars="0" w:firstLine="0"/>
        <w:rPr>
          <w:rFonts w:asciiTheme="minorEastAsia" w:hAnsiTheme="minorEastAsia" w:cstheme="majorBidi"/>
          <w:szCs w:val="18"/>
        </w:rPr>
      </w:pPr>
      <w:r w:rsidRPr="00A65C4F">
        <w:rPr>
          <w:rFonts w:asciiTheme="minorEastAsia" w:hAnsiTheme="minorEastAsia" w:cstheme="majorBidi"/>
          <w:szCs w:val="18"/>
        </w:rPr>
        <w:t>私は其の記憶を呼び起して、始めて「先生」といふものを意識したのである。</w:t>
      </w:r>
      <w:r>
        <w:rPr>
          <w:rStyle w:val="ab"/>
          <w:rFonts w:asciiTheme="minorEastAsia" w:hAnsiTheme="minorEastAsia" w:cstheme="majorBidi"/>
          <w:szCs w:val="18"/>
        </w:rPr>
        <w:footnoteReference w:id="2"/>
      </w:r>
    </w:p>
    <w:p w14:paraId="23CFF028" w14:textId="77777777" w:rsidR="00A65C4F" w:rsidRPr="00A65C4F" w:rsidRDefault="00A65C4F" w:rsidP="00A65C4F">
      <w:pPr>
        <w:ind w:firstLine="196"/>
        <w:rPr>
          <w:rFonts w:asciiTheme="minorEastAsia" w:hAnsiTheme="minorEastAsia" w:cstheme="majorBidi"/>
          <w:szCs w:val="18"/>
        </w:rPr>
      </w:pPr>
    </w:p>
    <w:p w14:paraId="7A4A3D72" w14:textId="77777777" w:rsidR="00A65C4F" w:rsidRPr="00A65C4F" w:rsidRDefault="00A65C4F" w:rsidP="00A65C4F">
      <w:pPr>
        <w:ind w:firstLine="196"/>
        <w:rPr>
          <w:rFonts w:asciiTheme="minorEastAsia" w:hAnsiTheme="minorEastAsia" w:cstheme="majorBidi"/>
          <w:szCs w:val="18"/>
        </w:rPr>
      </w:pPr>
      <w:r w:rsidRPr="00A65C4F">
        <w:rPr>
          <w:rFonts w:asciiTheme="minorEastAsia" w:hAnsiTheme="minorEastAsia" w:cstheme="majorBidi" w:hint="eastAsia"/>
          <w:szCs w:val="18"/>
        </w:rPr>
        <w:t>この一文に象徴されるように、上編における先生像は、常に「私」の主観的な解釈と距離感によって規定されている。読者は「私」と同じく、先生の過去について何も知らされず、その不可解な言動に共に戸惑うことになる。この情報の非対称性が、作品への強い興味を引き起こす原動力となっているのである。</w:t>
      </w:r>
    </w:p>
    <w:p w14:paraId="3F5CA93C" w14:textId="6A0B4848" w:rsidR="00534F29" w:rsidRPr="009A107F" w:rsidRDefault="005A627C" w:rsidP="005A627C">
      <w:pPr>
        <w:pStyle w:val="2"/>
        <w:numPr>
          <w:ilvl w:val="0"/>
          <w:numId w:val="0"/>
        </w:numPr>
        <w:ind w:left="200" w:hanging="200"/>
      </w:pPr>
      <w:r>
        <w:rPr>
          <w:rFonts w:hint="eastAsia"/>
        </w:rPr>
        <w:t>（２）</w:t>
      </w:r>
      <w:r w:rsidR="00534F29" w:rsidRPr="009A107F">
        <w:rPr>
          <w:rFonts w:hint="eastAsia"/>
        </w:rPr>
        <w:t>分析手法</w:t>
      </w:r>
    </w:p>
    <w:p w14:paraId="0F6FF9E8" w14:textId="77777777" w:rsidR="00A65C4F" w:rsidRPr="00A65C4F" w:rsidRDefault="00A65C4F" w:rsidP="00A65C4F">
      <w:pPr>
        <w:ind w:firstLine="196"/>
        <w:rPr>
          <w:rFonts w:asciiTheme="minorEastAsia" w:hAnsiTheme="minorEastAsia" w:cstheme="majorBidi"/>
          <w:szCs w:val="18"/>
        </w:rPr>
      </w:pPr>
      <w:r w:rsidRPr="00A65C4F">
        <w:rPr>
          <w:rFonts w:asciiTheme="minorEastAsia" w:hAnsiTheme="minorEastAsia" w:cstheme="majorBidi" w:hint="eastAsia"/>
          <w:szCs w:val="18"/>
        </w:rPr>
        <w:t>ところが、「下 先生と遺書」に至り、物語の視点は劇的に転換する。ここで我々は、先生自身の言葉によって、彼の過去の全てを知ることになる。しかし、前述の通り、この告白は先生から読者へ直接語られるものではなく、「私」が読んでいる遺書を、我々が追体験するという形式を取る。この入れ子構造は、読者に対して複雑な効果をもたらす。我々は先生の罪の告白に衝撃を受けると同時に、この衝撃的な事実を知った「私」が、その後どのように生きるのかという、新たな問いに直面させられるのだ。</w:t>
      </w:r>
    </w:p>
    <w:p w14:paraId="55D2F632" w14:textId="77777777" w:rsidR="00A65C4F" w:rsidRPr="009A107F" w:rsidRDefault="00A65C4F" w:rsidP="00A65C4F">
      <w:pPr>
        <w:ind w:firstLine="196"/>
        <w:rPr>
          <w:rFonts w:asciiTheme="minorEastAsia" w:hAnsiTheme="minorEastAsia" w:cstheme="majorBidi"/>
          <w:szCs w:val="18"/>
        </w:rPr>
      </w:pPr>
      <w:r w:rsidRPr="00A65C4F">
        <w:rPr>
          <w:rFonts w:asciiTheme="minorEastAsia" w:hAnsiTheme="minorEastAsia" w:cstheme="majorBidi" w:hint="eastAsia"/>
          <w:szCs w:val="18"/>
        </w:rPr>
        <w:t>漱石は、単に一つの悲劇を描くのではなく、その悲劇が他者の記憶の中でどのように受容され、語り継がれていくのかという、物語の伝承そのものをテーマと</w:t>
      </w:r>
      <w:r w:rsidRPr="00A65C4F">
        <w:rPr>
          <w:rFonts w:asciiTheme="minorEastAsia" w:hAnsiTheme="minorEastAsia" w:cstheme="majorBidi" w:hint="eastAsia"/>
          <w:szCs w:val="18"/>
        </w:rPr>
        <w:t>している。先生の死は物語の終わりではなく、むしろ「私」の中で、そして読者の中で、永遠に解釈され続けるべきテクストとして再生するのである</w:t>
      </w:r>
      <w:r w:rsidRPr="009A107F">
        <w:rPr>
          <w:rFonts w:asciiTheme="minorEastAsia" w:hAnsiTheme="minorEastAsia" w:cstheme="majorBidi" w:hint="eastAsia"/>
          <w:szCs w:val="18"/>
        </w:rPr>
        <w:t>。</w:t>
      </w:r>
    </w:p>
    <w:p w14:paraId="01174D85" w14:textId="77777777" w:rsidR="00534F29" w:rsidRPr="009A107F" w:rsidRDefault="00534F29" w:rsidP="00534F29">
      <w:pPr>
        <w:ind w:firstLine="196"/>
        <w:rPr>
          <w:rFonts w:asciiTheme="minorEastAsia" w:hAnsiTheme="minorEastAsia" w:cstheme="majorBidi"/>
          <w:szCs w:val="18"/>
        </w:rPr>
      </w:pPr>
    </w:p>
    <w:p w14:paraId="6602C682" w14:textId="53F332DC" w:rsidR="00F07BA4" w:rsidRPr="00020E3F" w:rsidRDefault="005A627C" w:rsidP="005A627C">
      <w:pPr>
        <w:pStyle w:val="1"/>
        <w:numPr>
          <w:ilvl w:val="0"/>
          <w:numId w:val="0"/>
        </w:numPr>
        <w:ind w:left="150" w:hanging="150"/>
      </w:pPr>
      <w:bookmarkStart w:id="0" w:name="_Ref76308917"/>
      <w:r>
        <w:rPr>
          <w:rFonts w:hint="eastAsia"/>
          <w:bCs/>
        </w:rPr>
        <w:t xml:space="preserve">四　</w:t>
      </w:r>
      <w:r w:rsidR="00A65C4F" w:rsidRPr="00A65C4F">
        <w:rPr>
          <w:bCs/>
        </w:rPr>
        <w:t>おわりに</w:t>
      </w:r>
    </w:p>
    <w:p w14:paraId="6A36729E" w14:textId="6736D55F" w:rsidR="00A65C4F" w:rsidRPr="00A65C4F" w:rsidRDefault="00A65C4F" w:rsidP="00A65C4F">
      <w:pPr>
        <w:ind w:firstLine="196"/>
        <w:rPr>
          <w:rFonts w:asciiTheme="minorEastAsia" w:hAnsiTheme="minorEastAsia"/>
          <w:szCs w:val="18"/>
        </w:rPr>
      </w:pPr>
      <w:r w:rsidRPr="00A65C4F">
        <w:rPr>
          <w:rFonts w:asciiTheme="minorEastAsia" w:hAnsiTheme="minorEastAsia"/>
          <w:szCs w:val="18"/>
        </w:rPr>
        <w:t>本稿では、夏目漱石『こゝろ』を、その特異な語りの構造に着目して分析した。そして、「私」の語りと「先生」の語りが成す入れ子構造が、読者を単なる傍観者ではなく、物語の解釈と継承を担う当事者として位置づけるための、高度な文学的戦略であることを明らかにした。</w:t>
      </w:r>
    </w:p>
    <w:p w14:paraId="45D80C70" w14:textId="77777777" w:rsidR="00A65C4F" w:rsidRPr="00A65C4F" w:rsidRDefault="00A65C4F" w:rsidP="00A65C4F">
      <w:pPr>
        <w:ind w:firstLine="196"/>
        <w:rPr>
          <w:rFonts w:asciiTheme="minorEastAsia" w:hAnsiTheme="minorEastAsia"/>
          <w:szCs w:val="18"/>
        </w:rPr>
      </w:pPr>
      <w:r w:rsidRPr="00A65C4F">
        <w:rPr>
          <w:rFonts w:asciiTheme="minorEastAsia" w:hAnsiTheme="minorEastAsia"/>
          <w:szCs w:val="18"/>
        </w:rPr>
        <w:t>先生の遺書は、彼の個人的な罪の告白であると同時に、近代が抱える孤独やエゴイズムという普遍的な問題を内包した一つの「テクスト」として機能する。そして、そのテクストを受け取った「私」が、新たな語り手として、その意味を問い続ける。この無限の解釈の連鎖こそ、漱石が本作に仕掛けた最も深遠な主題であろう。</w:t>
      </w:r>
    </w:p>
    <w:p w14:paraId="2D735B85" w14:textId="69AEA76D" w:rsidR="00E67FB0" w:rsidRPr="00A65C4F" w:rsidRDefault="00A65C4F" w:rsidP="00A65C4F">
      <w:pPr>
        <w:ind w:firstLine="196"/>
        <w:rPr>
          <w:rFonts w:asciiTheme="minorEastAsia" w:hAnsiTheme="minorEastAsia"/>
          <w:szCs w:val="18"/>
        </w:rPr>
      </w:pPr>
      <w:r w:rsidRPr="00A65C4F">
        <w:rPr>
          <w:rFonts w:asciiTheme="minorEastAsia" w:hAnsiTheme="minorEastAsia"/>
          <w:szCs w:val="18"/>
        </w:rPr>
        <w:t>今後の課題としては、この自己言及的な語りの構造が、同時代に発表された他の漱石作品、例えば『道草』や『明暗』とどのように関連し、あるいは断絶しているのかを比較検討することが挙げられる。そのような研究を通じて、漱石文学における「語り」の問題系は、さらに豊かな広がりを見せるに違いない。</w:t>
      </w:r>
      <w:bookmarkEnd w:id="0"/>
    </w:p>
    <w:p w14:paraId="1AEA5B9D" w14:textId="77777777" w:rsidR="00F07BA4" w:rsidRPr="009A107F" w:rsidRDefault="00F07BA4" w:rsidP="005A627C">
      <w:pPr>
        <w:ind w:firstLineChars="0" w:firstLine="0"/>
        <w:rPr>
          <w:rFonts w:asciiTheme="minorEastAsia" w:hAnsiTheme="minorEastAsia"/>
          <w:szCs w:val="18"/>
        </w:rPr>
      </w:pPr>
    </w:p>
    <w:p w14:paraId="6845ECA4" w14:textId="5B10EC90" w:rsidR="000F5135" w:rsidRPr="009A107F" w:rsidRDefault="00F07BA4" w:rsidP="00A65C4F">
      <w:pPr>
        <w:ind w:firstLineChars="0" w:firstLine="0"/>
        <w:jc w:val="left"/>
        <w:rPr>
          <w:rFonts w:asciiTheme="minorEastAsia" w:hAnsiTheme="minorEastAsia"/>
          <w:b/>
          <w:bCs/>
          <w:szCs w:val="18"/>
        </w:rPr>
      </w:pPr>
      <w:r w:rsidRPr="009A107F">
        <w:rPr>
          <w:rFonts w:asciiTheme="minorEastAsia" w:hAnsiTheme="minorEastAsia" w:hint="eastAsia"/>
          <w:b/>
          <w:bCs/>
          <w:szCs w:val="18"/>
        </w:rPr>
        <w:t>参考文献</w:t>
      </w:r>
    </w:p>
    <w:p w14:paraId="0B5FEC9C" w14:textId="77777777" w:rsidR="005A627C" w:rsidRPr="005A627C" w:rsidRDefault="005A627C" w:rsidP="005A627C">
      <w:pPr>
        <w:pStyle w:val="OJd"/>
        <w:ind w:left="409" w:hanging="409"/>
        <w:rPr>
          <w:sz w:val="18"/>
          <w:szCs w:val="22"/>
        </w:rPr>
      </w:pPr>
      <w:r w:rsidRPr="005A627C">
        <w:rPr>
          <w:rFonts w:hint="eastAsia"/>
          <w:sz w:val="18"/>
          <w:szCs w:val="22"/>
        </w:rPr>
        <w:t>田中一郎『近代文学における記憶と語り』、人文堂、一九九八年。</w:t>
      </w:r>
    </w:p>
    <w:p w14:paraId="7A04DFE1" w14:textId="3164E5C0" w:rsidR="005A627C" w:rsidRPr="005A627C" w:rsidRDefault="005A627C" w:rsidP="005A627C">
      <w:pPr>
        <w:pStyle w:val="OJd"/>
        <w:ind w:left="409" w:hanging="409"/>
        <w:rPr>
          <w:sz w:val="18"/>
          <w:szCs w:val="22"/>
        </w:rPr>
      </w:pPr>
      <w:r w:rsidRPr="005A627C">
        <w:rPr>
          <w:rFonts w:hint="eastAsia"/>
          <w:sz w:val="18"/>
          <w:szCs w:val="22"/>
        </w:rPr>
        <w:t>鈴木花子「テクストの暴力性—夏目漱石『こゝろ』論」、『日本近代文学研究』第三二巻、四五–六〇頁、二〇〇五年。</w:t>
      </w:r>
    </w:p>
    <w:p w14:paraId="062C0D0B" w14:textId="280DB852" w:rsidR="009A107F" w:rsidRPr="00FB2C74" w:rsidRDefault="005A627C" w:rsidP="005A627C">
      <w:pPr>
        <w:pStyle w:val="OJd"/>
        <w:ind w:left="409" w:hanging="409"/>
      </w:pPr>
      <w:r w:rsidRPr="005A627C">
        <w:rPr>
          <w:rFonts w:hint="eastAsia"/>
          <w:sz w:val="18"/>
          <w:szCs w:val="22"/>
        </w:rPr>
        <w:t>夏目漱石『こゝろ』、岩波文庫、一九五二年。</w:t>
      </w:r>
    </w:p>
    <w:sectPr w:rsidR="009A107F" w:rsidRPr="00FB2C74" w:rsidSect="003A5428">
      <w:footnotePr>
        <w:numFmt w:val="ideographDigital"/>
      </w:footnotePr>
      <w:type w:val="continuous"/>
      <w:pgSz w:w="11906" w:h="16838" w:code="9"/>
      <w:pgMar w:top="1134" w:right="851" w:bottom="1134" w:left="851" w:header="851" w:footer="992" w:gutter="0"/>
      <w:cols w:num="2" w:space="425"/>
      <w:textDirection w:val="tbRl"/>
      <w:docGrid w:type="linesAndChars" w:linePitch="309" w:charSpace="3367"/>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DE4C3" w14:textId="77777777" w:rsidR="00FC6800" w:rsidRDefault="00FC6800" w:rsidP="003C1EBA">
      <w:pPr>
        <w:ind w:firstLine="180"/>
      </w:pPr>
      <w:r>
        <w:separator/>
      </w:r>
    </w:p>
  </w:endnote>
  <w:endnote w:type="continuationSeparator" w:id="0">
    <w:p w14:paraId="3B0F4993" w14:textId="77777777" w:rsidR="00FC6800" w:rsidRDefault="00FC6800" w:rsidP="003C1EBA">
      <w:pPr>
        <w:ind w:firstLine="1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295C1" w14:textId="77777777" w:rsidR="00291A5B" w:rsidRDefault="00291A5B">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83AEB" w14:textId="77777777" w:rsidR="00291A5B" w:rsidRDefault="00291A5B">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691" w14:textId="77777777" w:rsidR="00291A5B" w:rsidRDefault="00291A5B">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50554" w14:textId="77777777" w:rsidR="00FC6800" w:rsidRPr="00E103FE" w:rsidRDefault="00FC6800" w:rsidP="00E103FE">
      <w:pPr>
        <w:pStyle w:val="a5"/>
        <w:ind w:firstLine="180"/>
      </w:pPr>
    </w:p>
  </w:footnote>
  <w:footnote w:type="continuationSeparator" w:id="0">
    <w:p w14:paraId="73A784A1" w14:textId="77777777" w:rsidR="00FC6800" w:rsidRDefault="00FC6800" w:rsidP="003C1EBA">
      <w:pPr>
        <w:ind w:firstLine="180"/>
      </w:pPr>
      <w:r>
        <w:continuationSeparator/>
      </w:r>
    </w:p>
  </w:footnote>
  <w:footnote w:id="1">
    <w:p w14:paraId="04B5BF41" w14:textId="2970A583" w:rsidR="00A65C4F" w:rsidRDefault="003A5428" w:rsidP="00BE1373">
      <w:pPr>
        <w:pStyle w:val="a9"/>
        <w:ind w:firstLine="202"/>
        <w:jc w:val="right"/>
      </w:pPr>
      <w:r>
        <w:rPr>
          <w:rFonts w:hint="eastAsia"/>
          <w:vertAlign w:val="superscript"/>
        </w:rPr>
        <w:t>１</w:t>
      </w:r>
      <w:r w:rsidR="00A65C4F">
        <w:rPr>
          <w:rFonts w:hint="eastAsia"/>
          <w:vertAlign w:val="superscript"/>
        </w:rPr>
        <w:t xml:space="preserve"> </w:t>
      </w:r>
      <w:r w:rsidR="00A65C4F">
        <w:rPr>
          <w:rFonts w:hint="eastAsia"/>
        </w:rPr>
        <w:t>放送大学教授（「○○○○○○」コース）</w:t>
      </w:r>
    </w:p>
    <w:p w14:paraId="4B76D5D0" w14:textId="77777777" w:rsidR="00A65C4F" w:rsidRDefault="00A65C4F" w:rsidP="00A65C4F">
      <w:pPr>
        <w:pStyle w:val="a9"/>
        <w:ind w:firstLineChars="49" w:firstLine="99"/>
      </w:pPr>
    </w:p>
  </w:footnote>
  <w:footnote w:id="2">
    <w:p w14:paraId="263ECF46" w14:textId="4BD14234" w:rsidR="00A65C4F" w:rsidRDefault="00A65C4F" w:rsidP="00A65C4F">
      <w:pPr>
        <w:pStyle w:val="a9"/>
        <w:ind w:firstLine="196"/>
      </w:pPr>
      <w:r>
        <w:rPr>
          <w:rStyle w:val="ab"/>
        </w:rPr>
        <w:footnoteRef/>
      </w:r>
      <w:r>
        <w:t xml:space="preserve"> </w:t>
      </w:r>
      <w:r w:rsidR="005A627C">
        <w:rPr>
          <w:rFonts w:hint="eastAsia"/>
        </w:rPr>
        <w:t>欄外でなく文末注でも。</w:t>
      </w:r>
      <w:r w:rsidRPr="00A65C4F">
        <w:t>夏目漱石『こゝろ』、岩波文庫、一九五二年版、一五頁。本稿で引用するテクストは、特に断りのない限り、同版に依拠する。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53284" w14:textId="77777777" w:rsidR="00291A5B" w:rsidRDefault="00291A5B">
    <w:pPr>
      <w:pStyle w:val="a3"/>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F510" w14:textId="77777777" w:rsidR="00291A5B" w:rsidRDefault="00291A5B">
    <w:pPr>
      <w:pStyle w:val="a3"/>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DADBD" w14:textId="77777777" w:rsidR="00291A5B" w:rsidRDefault="00291A5B">
    <w:pPr>
      <w:pStyle w:val="a3"/>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3F23C3"/>
    <w:multiLevelType w:val="multilevel"/>
    <w:tmpl w:val="0D90BCFA"/>
    <w:lvl w:ilvl="0">
      <w:start w:val="1"/>
      <w:numFmt w:val="decimal"/>
      <w:pStyle w:val="1"/>
      <w:lvlText w:val="%1."/>
      <w:lvlJc w:val="left"/>
      <w:pPr>
        <w:ind w:left="425" w:hanging="425"/>
      </w:pPr>
      <w:rPr>
        <w:rFonts w:hint="eastAsia"/>
      </w:rPr>
    </w:lvl>
    <w:lvl w:ilvl="1">
      <w:start w:val="1"/>
      <w:numFmt w:val="decimal"/>
      <w:pStyle w:val="2"/>
      <w:lvlText w:val="%1.%2"/>
      <w:lvlJc w:val="left"/>
      <w:pPr>
        <w:ind w:left="992" w:hanging="567"/>
      </w:pPr>
      <w:rPr>
        <w:rFonts w:hint="eastAsia"/>
      </w:rPr>
    </w:lvl>
    <w:lvl w:ilvl="2">
      <w:start w:val="1"/>
      <w:numFmt w:val="decimal"/>
      <w:pStyle w:val="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58381ADE"/>
    <w:multiLevelType w:val="multilevel"/>
    <w:tmpl w:val="67E8A0E8"/>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6EAB67B0"/>
    <w:multiLevelType w:val="hybridMultilevel"/>
    <w:tmpl w:val="3280BF9A"/>
    <w:lvl w:ilvl="0" w:tplc="3318880C">
      <w:start w:val="1"/>
      <w:numFmt w:val="decimal"/>
      <w:lvlText w:val="[%1]"/>
      <w:lvlJc w:val="left"/>
      <w:pPr>
        <w:ind w:left="608"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9AF0400"/>
    <w:multiLevelType w:val="hybridMultilevel"/>
    <w:tmpl w:val="C8AAD660"/>
    <w:lvl w:ilvl="0" w:tplc="C9F658F2">
      <w:start w:val="1"/>
      <w:numFmt w:val="japaneseCounting"/>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9935289">
    <w:abstractNumId w:val="1"/>
  </w:num>
  <w:num w:numId="2" w16cid:durableId="1782841771">
    <w:abstractNumId w:val="0"/>
  </w:num>
  <w:num w:numId="3" w16cid:durableId="463625655">
    <w:abstractNumId w:val="2"/>
  </w:num>
  <w:num w:numId="4" w16cid:durableId="7764069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978576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rawingGridHorizontalSpacing w:val="98"/>
  <w:drawingGridVerticalSpacing w:val="30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BB"/>
    <w:rsid w:val="000011B8"/>
    <w:rsid w:val="00020E3F"/>
    <w:rsid w:val="000423C9"/>
    <w:rsid w:val="00071D90"/>
    <w:rsid w:val="000956CB"/>
    <w:rsid w:val="000A7534"/>
    <w:rsid w:val="000D0527"/>
    <w:rsid w:val="000E0655"/>
    <w:rsid w:val="000F0596"/>
    <w:rsid w:val="000F2E79"/>
    <w:rsid w:val="000F5135"/>
    <w:rsid w:val="00142640"/>
    <w:rsid w:val="00195EBD"/>
    <w:rsid w:val="001A05A4"/>
    <w:rsid w:val="001F4F2A"/>
    <w:rsid w:val="0021067D"/>
    <w:rsid w:val="00211073"/>
    <w:rsid w:val="00214024"/>
    <w:rsid w:val="00215C2A"/>
    <w:rsid w:val="00244D75"/>
    <w:rsid w:val="00280CEA"/>
    <w:rsid w:val="0029025B"/>
    <w:rsid w:val="00291A5B"/>
    <w:rsid w:val="002A414C"/>
    <w:rsid w:val="002A73B1"/>
    <w:rsid w:val="002D4DF3"/>
    <w:rsid w:val="002D7182"/>
    <w:rsid w:val="002E62D0"/>
    <w:rsid w:val="002F4809"/>
    <w:rsid w:val="00307429"/>
    <w:rsid w:val="00313767"/>
    <w:rsid w:val="00314A43"/>
    <w:rsid w:val="0031552E"/>
    <w:rsid w:val="00323B9C"/>
    <w:rsid w:val="00325B6A"/>
    <w:rsid w:val="00326F7C"/>
    <w:rsid w:val="0033183C"/>
    <w:rsid w:val="00332993"/>
    <w:rsid w:val="00337D1A"/>
    <w:rsid w:val="0034471B"/>
    <w:rsid w:val="00347304"/>
    <w:rsid w:val="00360155"/>
    <w:rsid w:val="00362666"/>
    <w:rsid w:val="003823C4"/>
    <w:rsid w:val="003A5428"/>
    <w:rsid w:val="003C1EBA"/>
    <w:rsid w:val="003C7AFD"/>
    <w:rsid w:val="004101ED"/>
    <w:rsid w:val="00411F21"/>
    <w:rsid w:val="004132BD"/>
    <w:rsid w:val="00416AB5"/>
    <w:rsid w:val="004501B7"/>
    <w:rsid w:val="00451595"/>
    <w:rsid w:val="004609D2"/>
    <w:rsid w:val="00466D5A"/>
    <w:rsid w:val="0047211A"/>
    <w:rsid w:val="00492999"/>
    <w:rsid w:val="004A3555"/>
    <w:rsid w:val="004B6712"/>
    <w:rsid w:val="004C2426"/>
    <w:rsid w:val="00501B38"/>
    <w:rsid w:val="00502F25"/>
    <w:rsid w:val="00510091"/>
    <w:rsid w:val="00534F29"/>
    <w:rsid w:val="00547CDE"/>
    <w:rsid w:val="005767BB"/>
    <w:rsid w:val="00593184"/>
    <w:rsid w:val="00596F08"/>
    <w:rsid w:val="00596F5D"/>
    <w:rsid w:val="005A627C"/>
    <w:rsid w:val="005D3074"/>
    <w:rsid w:val="005E5B43"/>
    <w:rsid w:val="0062283D"/>
    <w:rsid w:val="0063205A"/>
    <w:rsid w:val="006419FD"/>
    <w:rsid w:val="006A44A3"/>
    <w:rsid w:val="006A57A5"/>
    <w:rsid w:val="006B6703"/>
    <w:rsid w:val="006E629B"/>
    <w:rsid w:val="006E64E2"/>
    <w:rsid w:val="006F29B6"/>
    <w:rsid w:val="006F6C8F"/>
    <w:rsid w:val="007132E1"/>
    <w:rsid w:val="00737B7E"/>
    <w:rsid w:val="00751177"/>
    <w:rsid w:val="007527B9"/>
    <w:rsid w:val="007828A6"/>
    <w:rsid w:val="0078439C"/>
    <w:rsid w:val="00790F14"/>
    <w:rsid w:val="007D2541"/>
    <w:rsid w:val="007F6A07"/>
    <w:rsid w:val="008056C4"/>
    <w:rsid w:val="00814C4C"/>
    <w:rsid w:val="00823F0E"/>
    <w:rsid w:val="0083726D"/>
    <w:rsid w:val="00846460"/>
    <w:rsid w:val="008479D6"/>
    <w:rsid w:val="008766F7"/>
    <w:rsid w:val="008911C2"/>
    <w:rsid w:val="008959BD"/>
    <w:rsid w:val="00896030"/>
    <w:rsid w:val="008E46AA"/>
    <w:rsid w:val="008F67C8"/>
    <w:rsid w:val="008F7208"/>
    <w:rsid w:val="009468BC"/>
    <w:rsid w:val="00950F35"/>
    <w:rsid w:val="00962F21"/>
    <w:rsid w:val="009A107F"/>
    <w:rsid w:val="009C21D9"/>
    <w:rsid w:val="009E4953"/>
    <w:rsid w:val="009F3475"/>
    <w:rsid w:val="00A455BA"/>
    <w:rsid w:val="00A551DE"/>
    <w:rsid w:val="00A65C4F"/>
    <w:rsid w:val="00A710E6"/>
    <w:rsid w:val="00A90535"/>
    <w:rsid w:val="00A962E1"/>
    <w:rsid w:val="00AC06E9"/>
    <w:rsid w:val="00AC0E43"/>
    <w:rsid w:val="00AD5985"/>
    <w:rsid w:val="00AE58F9"/>
    <w:rsid w:val="00AF717A"/>
    <w:rsid w:val="00B23F2D"/>
    <w:rsid w:val="00B42764"/>
    <w:rsid w:val="00B55967"/>
    <w:rsid w:val="00B61832"/>
    <w:rsid w:val="00B839D5"/>
    <w:rsid w:val="00BB127E"/>
    <w:rsid w:val="00BD5522"/>
    <w:rsid w:val="00BE1373"/>
    <w:rsid w:val="00BE27F1"/>
    <w:rsid w:val="00BF2B6D"/>
    <w:rsid w:val="00C07752"/>
    <w:rsid w:val="00C278D7"/>
    <w:rsid w:val="00C40824"/>
    <w:rsid w:val="00C4589C"/>
    <w:rsid w:val="00C45B71"/>
    <w:rsid w:val="00C63AF7"/>
    <w:rsid w:val="00C737CB"/>
    <w:rsid w:val="00C7798F"/>
    <w:rsid w:val="00CA49D9"/>
    <w:rsid w:val="00CB05C3"/>
    <w:rsid w:val="00CE1668"/>
    <w:rsid w:val="00CE5A47"/>
    <w:rsid w:val="00D04F2B"/>
    <w:rsid w:val="00D11796"/>
    <w:rsid w:val="00D225B4"/>
    <w:rsid w:val="00D318CB"/>
    <w:rsid w:val="00D318DF"/>
    <w:rsid w:val="00D47475"/>
    <w:rsid w:val="00D57F01"/>
    <w:rsid w:val="00D64FAB"/>
    <w:rsid w:val="00D8201D"/>
    <w:rsid w:val="00DB672B"/>
    <w:rsid w:val="00DF345F"/>
    <w:rsid w:val="00DF3F13"/>
    <w:rsid w:val="00E04B68"/>
    <w:rsid w:val="00E05560"/>
    <w:rsid w:val="00E103FE"/>
    <w:rsid w:val="00E241C7"/>
    <w:rsid w:val="00E24CB0"/>
    <w:rsid w:val="00E32FD0"/>
    <w:rsid w:val="00E34BDA"/>
    <w:rsid w:val="00E36DCC"/>
    <w:rsid w:val="00E46AB4"/>
    <w:rsid w:val="00E67FB0"/>
    <w:rsid w:val="00E73339"/>
    <w:rsid w:val="00E7351D"/>
    <w:rsid w:val="00E76775"/>
    <w:rsid w:val="00E81E7F"/>
    <w:rsid w:val="00E86609"/>
    <w:rsid w:val="00E90502"/>
    <w:rsid w:val="00E935CA"/>
    <w:rsid w:val="00EE416A"/>
    <w:rsid w:val="00EF71D5"/>
    <w:rsid w:val="00F07BA4"/>
    <w:rsid w:val="00F9097A"/>
    <w:rsid w:val="00F91516"/>
    <w:rsid w:val="00FA296F"/>
    <w:rsid w:val="00FB0EE5"/>
    <w:rsid w:val="00FB2C74"/>
    <w:rsid w:val="00FB2D51"/>
    <w:rsid w:val="00FB688B"/>
    <w:rsid w:val="00FC315B"/>
    <w:rsid w:val="00FC6800"/>
    <w:rsid w:val="00FD002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EC09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OJ本文"/>
    <w:qFormat/>
    <w:rsid w:val="00BD5522"/>
    <w:pPr>
      <w:widowControl w:val="0"/>
      <w:ind w:firstLineChars="100" w:firstLine="100"/>
      <w:jc w:val="both"/>
    </w:pPr>
    <w:rPr>
      <w:sz w:val="18"/>
    </w:rPr>
  </w:style>
  <w:style w:type="paragraph" w:styleId="1">
    <w:name w:val="heading 1"/>
    <w:aliases w:val="OJ見出し 1"/>
    <w:basedOn w:val="a"/>
    <w:next w:val="a"/>
    <w:link w:val="10"/>
    <w:uiPriority w:val="9"/>
    <w:qFormat/>
    <w:rsid w:val="00020E3F"/>
    <w:pPr>
      <w:keepNext/>
      <w:numPr>
        <w:numId w:val="2"/>
      </w:numPr>
      <w:ind w:left="150" w:hangingChars="150" w:hanging="150"/>
      <w:outlineLvl w:val="0"/>
    </w:pPr>
    <w:rPr>
      <w:rFonts w:asciiTheme="majorHAnsi" w:eastAsiaTheme="majorEastAsia" w:hAnsiTheme="majorHAnsi" w:cstheme="majorBidi"/>
      <w:b/>
      <w:szCs w:val="24"/>
    </w:rPr>
  </w:style>
  <w:style w:type="paragraph" w:styleId="2">
    <w:name w:val="heading 2"/>
    <w:aliases w:val="OJ見出し 2"/>
    <w:basedOn w:val="a"/>
    <w:next w:val="a"/>
    <w:link w:val="20"/>
    <w:uiPriority w:val="9"/>
    <w:unhideWhenUsed/>
    <w:qFormat/>
    <w:rsid w:val="00020E3F"/>
    <w:pPr>
      <w:keepNext/>
      <w:numPr>
        <w:ilvl w:val="1"/>
        <w:numId w:val="2"/>
      </w:numPr>
      <w:ind w:left="200" w:hangingChars="200" w:hanging="200"/>
      <w:outlineLvl w:val="1"/>
    </w:pPr>
    <w:rPr>
      <w:rFonts w:asciiTheme="majorHAnsi" w:eastAsiaTheme="majorEastAsia" w:hAnsiTheme="majorHAnsi" w:cstheme="majorBidi"/>
      <w:b/>
    </w:rPr>
  </w:style>
  <w:style w:type="paragraph" w:styleId="3">
    <w:name w:val="heading 3"/>
    <w:aliases w:val="OJ見出し 3"/>
    <w:basedOn w:val="a"/>
    <w:next w:val="a"/>
    <w:link w:val="30"/>
    <w:uiPriority w:val="9"/>
    <w:unhideWhenUsed/>
    <w:qFormat/>
    <w:rsid w:val="00D47475"/>
    <w:pPr>
      <w:keepNext/>
      <w:numPr>
        <w:ilvl w:val="2"/>
        <w:numId w:val="2"/>
      </w:numPr>
      <w:ind w:left="250" w:hangingChars="250" w:hanging="25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1EBA"/>
    <w:pPr>
      <w:tabs>
        <w:tab w:val="center" w:pos="4252"/>
        <w:tab w:val="right" w:pos="8504"/>
      </w:tabs>
      <w:snapToGrid w:val="0"/>
    </w:pPr>
  </w:style>
  <w:style w:type="character" w:customStyle="1" w:styleId="a4">
    <w:name w:val="ヘッダー (文字)"/>
    <w:basedOn w:val="a0"/>
    <w:link w:val="a3"/>
    <w:uiPriority w:val="99"/>
    <w:rsid w:val="003C1EBA"/>
  </w:style>
  <w:style w:type="paragraph" w:styleId="a5">
    <w:name w:val="footer"/>
    <w:basedOn w:val="a"/>
    <w:link w:val="a6"/>
    <w:uiPriority w:val="99"/>
    <w:unhideWhenUsed/>
    <w:rsid w:val="003C1EBA"/>
    <w:pPr>
      <w:tabs>
        <w:tab w:val="center" w:pos="4252"/>
        <w:tab w:val="right" w:pos="8504"/>
      </w:tabs>
      <w:snapToGrid w:val="0"/>
    </w:pPr>
  </w:style>
  <w:style w:type="character" w:customStyle="1" w:styleId="a6">
    <w:name w:val="フッター (文字)"/>
    <w:basedOn w:val="a0"/>
    <w:link w:val="a5"/>
    <w:uiPriority w:val="99"/>
    <w:rsid w:val="003C1EBA"/>
  </w:style>
  <w:style w:type="character" w:customStyle="1" w:styleId="10">
    <w:name w:val="見出し 1 (文字)"/>
    <w:aliases w:val="OJ見出し 1 (文字)"/>
    <w:basedOn w:val="a0"/>
    <w:link w:val="1"/>
    <w:uiPriority w:val="9"/>
    <w:rsid w:val="00020E3F"/>
    <w:rPr>
      <w:rFonts w:asciiTheme="majorHAnsi" w:eastAsiaTheme="majorEastAsia" w:hAnsiTheme="majorHAnsi" w:cstheme="majorBidi"/>
      <w:b/>
      <w:sz w:val="18"/>
      <w:szCs w:val="24"/>
    </w:rPr>
  </w:style>
  <w:style w:type="paragraph" w:styleId="a7">
    <w:name w:val="Title"/>
    <w:aliases w:val="OJ題目"/>
    <w:basedOn w:val="a"/>
    <w:next w:val="a"/>
    <w:link w:val="a8"/>
    <w:uiPriority w:val="10"/>
    <w:qFormat/>
    <w:rsid w:val="006A57A5"/>
    <w:pPr>
      <w:spacing w:before="240" w:after="120"/>
      <w:jc w:val="center"/>
      <w:outlineLvl w:val="0"/>
    </w:pPr>
    <w:rPr>
      <w:rFonts w:asciiTheme="majorHAnsi" w:hAnsiTheme="majorHAnsi" w:cstheme="majorBidi"/>
      <w:b/>
      <w:sz w:val="24"/>
      <w:szCs w:val="32"/>
    </w:rPr>
  </w:style>
  <w:style w:type="character" w:customStyle="1" w:styleId="a8">
    <w:name w:val="表題 (文字)"/>
    <w:aliases w:val="OJ題目 (文字)"/>
    <w:basedOn w:val="a0"/>
    <w:link w:val="a7"/>
    <w:uiPriority w:val="10"/>
    <w:rsid w:val="006A57A5"/>
    <w:rPr>
      <w:rFonts w:asciiTheme="majorHAnsi" w:hAnsiTheme="majorHAnsi" w:cstheme="majorBidi"/>
      <w:b/>
      <w:sz w:val="24"/>
      <w:szCs w:val="32"/>
    </w:rPr>
  </w:style>
  <w:style w:type="character" w:customStyle="1" w:styleId="20">
    <w:name w:val="見出し 2 (文字)"/>
    <w:aliases w:val="OJ見出し 2 (文字)"/>
    <w:basedOn w:val="a0"/>
    <w:link w:val="2"/>
    <w:uiPriority w:val="9"/>
    <w:rsid w:val="00020E3F"/>
    <w:rPr>
      <w:rFonts w:asciiTheme="majorHAnsi" w:eastAsiaTheme="majorEastAsia" w:hAnsiTheme="majorHAnsi" w:cstheme="majorBidi"/>
      <w:b/>
      <w:sz w:val="18"/>
    </w:rPr>
  </w:style>
  <w:style w:type="character" w:customStyle="1" w:styleId="30">
    <w:name w:val="見出し 3 (文字)"/>
    <w:aliases w:val="OJ見出し 3 (文字)"/>
    <w:basedOn w:val="a0"/>
    <w:link w:val="3"/>
    <w:uiPriority w:val="9"/>
    <w:rsid w:val="00D47475"/>
    <w:rPr>
      <w:rFonts w:asciiTheme="majorHAnsi" w:eastAsiaTheme="majorEastAsia" w:hAnsiTheme="majorHAnsi" w:cstheme="majorBidi"/>
      <w:sz w:val="18"/>
    </w:rPr>
  </w:style>
  <w:style w:type="paragraph" w:styleId="a9">
    <w:name w:val="footnote text"/>
    <w:basedOn w:val="a"/>
    <w:link w:val="aa"/>
    <w:uiPriority w:val="99"/>
    <w:semiHidden/>
    <w:unhideWhenUsed/>
    <w:rsid w:val="00AD5985"/>
    <w:pPr>
      <w:snapToGrid w:val="0"/>
      <w:jc w:val="left"/>
    </w:pPr>
  </w:style>
  <w:style w:type="character" w:customStyle="1" w:styleId="aa">
    <w:name w:val="脚注文字列 (文字)"/>
    <w:basedOn w:val="a0"/>
    <w:link w:val="a9"/>
    <w:uiPriority w:val="99"/>
    <w:semiHidden/>
    <w:rsid w:val="00AD5985"/>
    <w:rPr>
      <w:sz w:val="18"/>
    </w:rPr>
  </w:style>
  <w:style w:type="character" w:styleId="ab">
    <w:name w:val="footnote reference"/>
    <w:basedOn w:val="a0"/>
    <w:uiPriority w:val="99"/>
    <w:semiHidden/>
    <w:unhideWhenUsed/>
    <w:rsid w:val="00AD5985"/>
    <w:rPr>
      <w:vertAlign w:val="superscript"/>
    </w:rPr>
  </w:style>
  <w:style w:type="paragraph" w:styleId="ac">
    <w:name w:val="List Paragraph"/>
    <w:basedOn w:val="a"/>
    <w:link w:val="ad"/>
    <w:uiPriority w:val="34"/>
    <w:rsid w:val="0033183C"/>
    <w:pPr>
      <w:ind w:leftChars="400" w:left="840"/>
    </w:pPr>
  </w:style>
  <w:style w:type="paragraph" w:customStyle="1" w:styleId="OJ">
    <w:name w:val="OJ著者氏名"/>
    <w:basedOn w:val="a"/>
    <w:link w:val="OJ0"/>
    <w:qFormat/>
    <w:rsid w:val="00E46AB4"/>
    <w:pPr>
      <w:ind w:firstLineChars="0" w:firstLine="0"/>
      <w:jc w:val="center"/>
    </w:pPr>
    <w:rPr>
      <w:sz w:val="22"/>
    </w:rPr>
  </w:style>
  <w:style w:type="paragraph" w:customStyle="1" w:styleId="OJ1">
    <w:name w:val="OJ要旨"/>
    <w:basedOn w:val="a"/>
    <w:link w:val="OJ2"/>
    <w:qFormat/>
    <w:rsid w:val="002A73B1"/>
    <w:pPr>
      <w:spacing w:beforeLines="50" w:before="180"/>
      <w:ind w:leftChars="200" w:left="360" w:rightChars="200" w:right="360" w:firstLine="180"/>
    </w:pPr>
  </w:style>
  <w:style w:type="character" w:customStyle="1" w:styleId="OJ0">
    <w:name w:val="OJ著者氏名 (文字)"/>
    <w:basedOn w:val="a0"/>
    <w:link w:val="OJ"/>
    <w:rsid w:val="00E46AB4"/>
    <w:rPr>
      <w:sz w:val="22"/>
    </w:rPr>
  </w:style>
  <w:style w:type="paragraph" w:customStyle="1" w:styleId="OJ3">
    <w:name w:val="OJ題目(英)"/>
    <w:basedOn w:val="a7"/>
    <w:link w:val="OJ4"/>
    <w:qFormat/>
    <w:rsid w:val="006A57A5"/>
    <w:pPr>
      <w:ind w:firstLine="320"/>
    </w:pPr>
    <w:rPr>
      <w:rFonts w:asciiTheme="minorHAnsi" w:eastAsiaTheme="majorEastAsia" w:hAnsiTheme="minorHAnsi"/>
      <w:b w:val="0"/>
    </w:rPr>
  </w:style>
  <w:style w:type="character" w:customStyle="1" w:styleId="OJ2">
    <w:name w:val="OJ要旨 (文字)"/>
    <w:basedOn w:val="a0"/>
    <w:link w:val="OJ1"/>
    <w:rsid w:val="002A73B1"/>
    <w:rPr>
      <w:sz w:val="18"/>
    </w:rPr>
  </w:style>
  <w:style w:type="paragraph" w:customStyle="1" w:styleId="OJ5">
    <w:name w:val="OJ著者氏名(英)"/>
    <w:basedOn w:val="OJ"/>
    <w:link w:val="OJ6"/>
    <w:qFormat/>
    <w:rsid w:val="0078439C"/>
  </w:style>
  <w:style w:type="character" w:customStyle="1" w:styleId="OJ4">
    <w:name w:val="OJ題目(英) (文字)"/>
    <w:basedOn w:val="a8"/>
    <w:link w:val="OJ3"/>
    <w:rsid w:val="006A57A5"/>
    <w:rPr>
      <w:rFonts w:asciiTheme="majorHAnsi" w:eastAsiaTheme="majorEastAsia" w:hAnsiTheme="majorHAnsi" w:cstheme="majorBidi"/>
      <w:b w:val="0"/>
      <w:sz w:val="24"/>
      <w:szCs w:val="32"/>
    </w:rPr>
  </w:style>
  <w:style w:type="paragraph" w:customStyle="1" w:styleId="OJ7">
    <w:name w:val="OJ要旨(英)"/>
    <w:basedOn w:val="OJ1"/>
    <w:link w:val="OJ8"/>
    <w:qFormat/>
    <w:rsid w:val="0078439C"/>
    <w:pPr>
      <w:ind w:firstLineChars="0" w:firstLine="0"/>
    </w:pPr>
  </w:style>
  <w:style w:type="character" w:customStyle="1" w:styleId="OJ6">
    <w:name w:val="OJ著者氏名(英) (文字)"/>
    <w:basedOn w:val="OJ0"/>
    <w:link w:val="OJ5"/>
    <w:rsid w:val="0078439C"/>
    <w:rPr>
      <w:sz w:val="24"/>
    </w:rPr>
  </w:style>
  <w:style w:type="paragraph" w:customStyle="1" w:styleId="OJ9">
    <w:name w:val="OJ図"/>
    <w:basedOn w:val="a"/>
    <w:link w:val="OJa"/>
    <w:qFormat/>
    <w:rsid w:val="0021067D"/>
    <w:pPr>
      <w:keepNext/>
      <w:spacing w:beforeLines="50" w:before="50"/>
      <w:ind w:firstLineChars="0" w:firstLine="0"/>
      <w:jc w:val="center"/>
    </w:pPr>
    <w:rPr>
      <w:noProof/>
    </w:rPr>
  </w:style>
  <w:style w:type="character" w:customStyle="1" w:styleId="OJ8">
    <w:name w:val="OJ要旨(英) (文字)"/>
    <w:basedOn w:val="OJ2"/>
    <w:link w:val="OJ7"/>
    <w:rsid w:val="0078439C"/>
    <w:rPr>
      <w:sz w:val="18"/>
    </w:rPr>
  </w:style>
  <w:style w:type="paragraph" w:styleId="ae">
    <w:name w:val="caption"/>
    <w:aliases w:val="OJ図題目"/>
    <w:basedOn w:val="a"/>
    <w:next w:val="a"/>
    <w:link w:val="af"/>
    <w:uiPriority w:val="35"/>
    <w:unhideWhenUsed/>
    <w:qFormat/>
    <w:rsid w:val="008F67C8"/>
    <w:pPr>
      <w:spacing w:afterLines="50" w:after="50"/>
      <w:ind w:firstLineChars="0" w:firstLine="0"/>
      <w:jc w:val="center"/>
    </w:pPr>
    <w:rPr>
      <w:rFonts w:asciiTheme="majorHAnsi" w:eastAsiaTheme="majorEastAsia" w:hAnsiTheme="majorHAnsi"/>
      <w:bCs/>
      <w:szCs w:val="21"/>
    </w:rPr>
  </w:style>
  <w:style w:type="character" w:customStyle="1" w:styleId="OJa">
    <w:name w:val="OJ図 (文字)"/>
    <w:basedOn w:val="a0"/>
    <w:link w:val="OJ9"/>
    <w:rsid w:val="0021067D"/>
    <w:rPr>
      <w:noProof/>
      <w:sz w:val="18"/>
    </w:rPr>
  </w:style>
  <w:style w:type="table" w:styleId="af0">
    <w:name w:val="Table Grid"/>
    <w:basedOn w:val="a1"/>
    <w:uiPriority w:val="39"/>
    <w:rsid w:val="005D30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Jb">
    <w:name w:val="OJ表題目"/>
    <w:basedOn w:val="ae"/>
    <w:link w:val="OJc"/>
    <w:qFormat/>
    <w:rsid w:val="008F67C8"/>
    <w:pPr>
      <w:keepNext/>
      <w:spacing w:beforeLines="50" w:before="50" w:afterLines="0" w:after="0"/>
    </w:pPr>
  </w:style>
  <w:style w:type="paragraph" w:customStyle="1" w:styleId="OJd">
    <w:name w:val="OJ参考文献"/>
    <w:basedOn w:val="a"/>
    <w:qFormat/>
    <w:rsid w:val="00FB2C74"/>
    <w:pPr>
      <w:ind w:left="382" w:hangingChars="208" w:hanging="382"/>
    </w:pPr>
    <w:rPr>
      <w:sz w:val="16"/>
      <w:szCs w:val="16"/>
    </w:rPr>
  </w:style>
  <w:style w:type="character" w:customStyle="1" w:styleId="af">
    <w:name w:val="図表番号 (文字)"/>
    <w:aliases w:val="OJ図題目 (文字)"/>
    <w:basedOn w:val="a0"/>
    <w:link w:val="ae"/>
    <w:uiPriority w:val="35"/>
    <w:rsid w:val="008F67C8"/>
    <w:rPr>
      <w:rFonts w:asciiTheme="majorHAnsi" w:eastAsiaTheme="majorEastAsia" w:hAnsiTheme="majorHAnsi"/>
      <w:bCs/>
      <w:sz w:val="18"/>
      <w:szCs w:val="21"/>
    </w:rPr>
  </w:style>
  <w:style w:type="character" w:customStyle="1" w:styleId="OJc">
    <w:name w:val="OJ表題目 (文字)"/>
    <w:basedOn w:val="af"/>
    <w:link w:val="OJb"/>
    <w:rsid w:val="008F67C8"/>
    <w:rPr>
      <w:rFonts w:asciiTheme="majorHAnsi" w:eastAsiaTheme="majorEastAsia" w:hAnsiTheme="majorHAnsi"/>
      <w:bCs/>
      <w:sz w:val="18"/>
      <w:szCs w:val="21"/>
    </w:rPr>
  </w:style>
  <w:style w:type="character" w:customStyle="1" w:styleId="ad">
    <w:name w:val="リスト段落 (文字)"/>
    <w:basedOn w:val="a0"/>
    <w:link w:val="ac"/>
    <w:uiPriority w:val="34"/>
    <w:rsid w:val="007828A6"/>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4">
      <a:majorFont>
        <a:latin typeface="Arial"/>
        <a:ea typeface="ＭＳ ゴシック"/>
        <a:cs typeface=""/>
      </a:majorFont>
      <a:minorFont>
        <a:latin typeface="Times New Roman"/>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92D2-987E-0D4A-A242-277A2D1BE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420</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2025-08-04T04:10:00Z</dcterms:created>
  <dcterms:modified xsi:type="dcterms:W3CDTF">2025-08-04T04:10:00Z</dcterms:modified>
</cp:coreProperties>
</file>